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A085F" w14:textId="47C52424" w:rsidR="008E35E7" w:rsidRDefault="00B447FF">
      <w:r>
        <w:rPr>
          <w:noProof/>
        </w:rPr>
        <w:drawing>
          <wp:inline distT="0" distB="0" distL="0" distR="0" wp14:anchorId="1FFB687A" wp14:editId="4FF9FA1D">
            <wp:extent cx="5943600" cy="1616075"/>
            <wp:effectExtent l="0" t="0" r="0" b="317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16075"/>
                    </a:xfrm>
                    <a:prstGeom prst="rect">
                      <a:avLst/>
                    </a:prstGeom>
                    <a:noFill/>
                    <a:ln>
                      <a:noFill/>
                    </a:ln>
                  </pic:spPr>
                </pic:pic>
              </a:graphicData>
            </a:graphic>
          </wp:inline>
        </w:drawing>
      </w:r>
    </w:p>
    <w:p w14:paraId="4B5DE31B" w14:textId="77777777" w:rsidR="00217142" w:rsidRPr="00217142" w:rsidRDefault="00217142" w:rsidP="00217142">
      <w:pPr>
        <w:shd w:val="clear" w:color="auto" w:fill="FFFFFF"/>
        <w:spacing w:before="300" w:after="150" w:line="240" w:lineRule="auto"/>
        <w:jc w:val="center"/>
        <w:outlineLvl w:val="0"/>
        <w:rPr>
          <w:rFonts w:ascii="Arial" w:eastAsia="Times New Roman" w:hAnsi="Arial" w:cs="Arial"/>
          <w:b/>
          <w:bCs/>
          <w:kern w:val="36"/>
          <w:sz w:val="28"/>
          <w:szCs w:val="28"/>
          <w14:ligatures w14:val="none"/>
        </w:rPr>
      </w:pPr>
      <w:r w:rsidRPr="00217142">
        <w:rPr>
          <w:rFonts w:ascii="Arial" w:eastAsia="Times New Roman" w:hAnsi="Arial" w:cs="Arial"/>
          <w:b/>
          <w:bCs/>
          <w:kern w:val="36"/>
          <w:sz w:val="28"/>
          <w:szCs w:val="28"/>
          <w14:ligatures w14:val="none"/>
        </w:rPr>
        <w:t>Augustus F. Hawkins Centers of Excellence Program</w:t>
      </w:r>
    </w:p>
    <w:p w14:paraId="538D26E6" w14:textId="5CBDAFE1" w:rsidR="00217142" w:rsidRPr="0054366D" w:rsidRDefault="00217142">
      <w:pPr>
        <w:rPr>
          <w:rFonts w:ascii="Arial" w:hAnsi="Arial" w:cs="Arial"/>
          <w:color w:val="030A13"/>
          <w:shd w:val="clear" w:color="auto" w:fill="FFFFFF"/>
        </w:rPr>
      </w:pPr>
      <w:r w:rsidRPr="0054366D">
        <w:rPr>
          <w:rFonts w:ascii="Arial" w:hAnsi="Arial" w:cs="Arial"/>
          <w:color w:val="030A13"/>
          <w:shd w:val="clear" w:color="auto" w:fill="FFFFFF"/>
        </w:rPr>
        <w:t>The </w:t>
      </w:r>
      <w:hyperlink r:id="rId11" w:history="1">
        <w:r w:rsidRPr="0054366D">
          <w:rPr>
            <w:rStyle w:val="Hyperlink"/>
            <w:rFonts w:ascii="Arial" w:hAnsi="Arial" w:cs="Arial"/>
            <w:color w:val="115CA7"/>
            <w:shd w:val="clear" w:color="auto" w:fill="FFFFFF"/>
          </w:rPr>
          <w:t>Augustus F. Hawkins Centers of Excellence</w:t>
        </w:r>
      </w:hyperlink>
      <w:r w:rsidRPr="0054366D">
        <w:rPr>
          <w:rFonts w:ascii="Arial" w:hAnsi="Arial" w:cs="Arial"/>
          <w:color w:val="030A13"/>
          <w:shd w:val="clear" w:color="auto" w:fill="FFFFFF"/>
        </w:rPr>
        <w:t> Program (Hawkins Program)</w:t>
      </w:r>
      <w:r w:rsidR="0045040D" w:rsidRPr="0054366D">
        <w:rPr>
          <w:rFonts w:ascii="Arial" w:hAnsi="Arial" w:cs="Arial"/>
          <w:color w:val="030A13"/>
          <w:shd w:val="clear" w:color="auto" w:fill="FFFFFF"/>
        </w:rPr>
        <w:t xml:space="preserve"> s</w:t>
      </w:r>
      <w:r w:rsidRPr="0054366D">
        <w:rPr>
          <w:rFonts w:ascii="Arial" w:hAnsi="Arial" w:cs="Arial"/>
          <w:color w:val="030A13"/>
          <w:shd w:val="clear" w:color="auto" w:fill="FFFFFF"/>
        </w:rPr>
        <w:t>upports comprehensive, high-quality teacher preparation programs at Historically Black Colleges and Universities (HBCUs), Tribally Controlled Colleges and Universities (TCCUs), and Minority Serving Institutions (MSIs). </w:t>
      </w:r>
    </w:p>
    <w:p w14:paraId="0E7807AF" w14:textId="4D1C3107" w:rsidR="00217142" w:rsidRPr="0054366D" w:rsidRDefault="00217142" w:rsidP="00217142">
      <w:pPr>
        <w:pStyle w:val="NormalWeb"/>
        <w:shd w:val="clear" w:color="auto" w:fill="FFFFFF"/>
        <w:spacing w:before="0" w:beforeAutospacing="0" w:after="150" w:afterAutospacing="0"/>
        <w:rPr>
          <w:rFonts w:ascii="Arial" w:hAnsi="Arial" w:cs="Arial"/>
          <w:color w:val="030A13"/>
          <w:sz w:val="22"/>
          <w:szCs w:val="22"/>
        </w:rPr>
      </w:pPr>
      <w:r w:rsidRPr="0054366D">
        <w:rPr>
          <w:rFonts w:ascii="Arial" w:hAnsi="Arial" w:cs="Arial"/>
          <w:color w:val="030A13"/>
          <w:sz w:val="22"/>
          <w:szCs w:val="22"/>
        </w:rPr>
        <w:t xml:space="preserve">HBCUs, TCCUs, and MSIs are uniquely positioned to recruit, prepare, and place teachers who will provide culturally and linguistically responsive teaching in underserved schools. Grantees </w:t>
      </w:r>
      <w:r w:rsidR="0026190A">
        <w:rPr>
          <w:rFonts w:ascii="Arial" w:hAnsi="Arial" w:cs="Arial"/>
          <w:color w:val="030A13"/>
          <w:sz w:val="22"/>
          <w:szCs w:val="22"/>
        </w:rPr>
        <w:t>are</w:t>
      </w:r>
      <w:r w:rsidRPr="0054366D">
        <w:rPr>
          <w:rFonts w:ascii="Arial" w:hAnsi="Arial" w:cs="Arial"/>
          <w:color w:val="030A13"/>
          <w:sz w:val="22"/>
          <w:szCs w:val="22"/>
        </w:rPr>
        <w:t xml:space="preserve"> selected based on their focus on key aspects of a high-quality teacher preparation pipeline, including evidence-based, comprehensive teacher preparation that emphasize classroom experience and mentorship.</w:t>
      </w:r>
    </w:p>
    <w:p w14:paraId="2DCB8EC1" w14:textId="21921A35" w:rsidR="00217142" w:rsidRPr="00F73FE8" w:rsidRDefault="00217142" w:rsidP="00217142">
      <w:pPr>
        <w:pStyle w:val="NormalWeb"/>
        <w:shd w:val="clear" w:color="auto" w:fill="FFFFFF"/>
        <w:spacing w:before="0" w:beforeAutospacing="0" w:after="150" w:afterAutospacing="0"/>
        <w:rPr>
          <w:rFonts w:ascii="Arial" w:hAnsi="Arial" w:cs="Arial"/>
          <w:color w:val="030A13"/>
          <w:sz w:val="22"/>
          <w:szCs w:val="22"/>
        </w:rPr>
      </w:pPr>
      <w:r w:rsidRPr="0054366D">
        <w:rPr>
          <w:rFonts w:ascii="Arial" w:hAnsi="Arial" w:cs="Arial"/>
          <w:color w:val="030A13"/>
          <w:sz w:val="22"/>
          <w:szCs w:val="22"/>
        </w:rPr>
        <w:t>Today’s teacher workforce does not reflect the demographics of the nation’s public school students. More than 50% of public school students are students of color, yet in 2017-18, the most recent year of available </w:t>
      </w:r>
      <w:hyperlink r:id="rId12" w:history="1">
        <w:r w:rsidRPr="0054366D">
          <w:rPr>
            <w:rStyle w:val="Hyperlink"/>
            <w:rFonts w:ascii="Arial" w:hAnsi="Arial" w:cs="Arial"/>
            <w:color w:val="115CA7"/>
            <w:sz w:val="22"/>
            <w:szCs w:val="22"/>
          </w:rPr>
          <w:t>data</w:t>
        </w:r>
      </w:hyperlink>
      <w:r w:rsidRPr="0054366D">
        <w:rPr>
          <w:rFonts w:ascii="Arial" w:hAnsi="Arial" w:cs="Arial"/>
          <w:color w:val="030A13"/>
          <w:sz w:val="22"/>
          <w:szCs w:val="22"/>
        </w:rPr>
        <w:t xml:space="preserve">, roughly 25% of teachers were teachers of color. And while English learners (ELs) are the fastest growing public school student demographic, comprising more than 10% of America’s enrollment, most states face a shortage of bilingual and multilingual teachers prepared and certified for language instruction or to teach ELs. These roles are critical for ensuring Americans can compete in the increasingly globalized economy, </w:t>
      </w:r>
      <w:r w:rsidRPr="00F73FE8">
        <w:rPr>
          <w:rFonts w:ascii="Arial" w:hAnsi="Arial" w:cs="Arial"/>
          <w:color w:val="030A13"/>
          <w:sz w:val="22"/>
          <w:szCs w:val="22"/>
        </w:rPr>
        <w:t xml:space="preserve">guaranteeing equal access to education opportunity for ELs, and creating a strong economy in which all Americans can thrive. </w:t>
      </w:r>
    </w:p>
    <w:p w14:paraId="3D92AA4E" w14:textId="708B9C80" w:rsidR="000350DF" w:rsidRPr="000350DF" w:rsidRDefault="000350DF" w:rsidP="00F73FE8">
      <w:pPr>
        <w:shd w:val="clear" w:color="auto" w:fill="FFFFFF"/>
        <w:spacing w:after="150" w:line="240" w:lineRule="auto"/>
        <w:rPr>
          <w:rFonts w:ascii="Arial" w:eastAsia="Times New Roman" w:hAnsi="Arial" w:cs="Arial"/>
          <w:color w:val="030A13"/>
          <w:kern w:val="0"/>
          <w14:ligatures w14:val="none"/>
        </w:rPr>
      </w:pPr>
      <w:bookmarkStart w:id="0" w:name="types"/>
      <w:bookmarkEnd w:id="0"/>
      <w:r w:rsidRPr="000350DF">
        <w:rPr>
          <w:rFonts w:ascii="Arial" w:eastAsia="Times New Roman" w:hAnsi="Arial" w:cs="Arial"/>
          <w:color w:val="030A13"/>
          <w:kern w:val="0"/>
          <w14:ligatures w14:val="none"/>
        </w:rPr>
        <w:t xml:space="preserve">Grant(s) awarded under this program is for a period of up to four years. </w:t>
      </w:r>
    </w:p>
    <w:p w14:paraId="158014E6" w14:textId="77777777" w:rsidR="007C75BC" w:rsidRPr="0054366D" w:rsidRDefault="007C75BC" w:rsidP="00217142">
      <w:pPr>
        <w:pStyle w:val="NormalWeb"/>
        <w:shd w:val="clear" w:color="auto" w:fill="FFFFFF"/>
        <w:spacing w:before="0" w:beforeAutospacing="0" w:after="150" w:afterAutospacing="0"/>
        <w:rPr>
          <w:rFonts w:ascii="Arial" w:hAnsi="Arial" w:cs="Arial"/>
          <w:color w:val="030A13"/>
          <w:sz w:val="22"/>
          <w:szCs w:val="22"/>
        </w:rPr>
      </w:pPr>
    </w:p>
    <w:p w14:paraId="553D635A" w14:textId="724FBD5D" w:rsidR="007C75BC" w:rsidRPr="0054366D" w:rsidRDefault="007C75BC" w:rsidP="007C75BC">
      <w:pPr>
        <w:pStyle w:val="NormalWeb"/>
        <w:shd w:val="clear" w:color="auto" w:fill="FFFFFF"/>
        <w:spacing w:before="0" w:beforeAutospacing="0" w:after="150" w:afterAutospacing="0"/>
        <w:jc w:val="center"/>
        <w:rPr>
          <w:rFonts w:ascii="Arial" w:hAnsi="Arial" w:cs="Arial"/>
          <w:color w:val="030A13"/>
          <w:sz w:val="22"/>
          <w:szCs w:val="22"/>
        </w:rPr>
      </w:pPr>
      <w:r w:rsidRPr="0054366D">
        <w:rPr>
          <w:rFonts w:ascii="Arial" w:hAnsi="Arial" w:cs="Arial"/>
          <w:b/>
          <w:bCs/>
          <w:spacing w:val="-4"/>
          <w:sz w:val="22"/>
          <w:szCs w:val="22"/>
        </w:rPr>
        <w:t>Funding History</w:t>
      </w:r>
      <w:r w:rsidRPr="0054366D">
        <w:rPr>
          <w:rFonts w:ascii="Arial" w:hAnsi="Arial" w:cs="Arial"/>
          <w:spacing w:val="-4"/>
          <w:sz w:val="22"/>
          <w:szCs w:val="22"/>
        </w:rPr>
        <w:t xml:space="preserve"> (in millions)</w:t>
      </w:r>
    </w:p>
    <w:tbl>
      <w:tblPr>
        <w:tblStyle w:val="TableGrid"/>
        <w:tblW w:w="8550" w:type="dxa"/>
        <w:tblInd w:w="445" w:type="dxa"/>
        <w:tblLook w:val="04A0" w:firstRow="1" w:lastRow="0" w:firstColumn="1" w:lastColumn="0" w:noHBand="0" w:noVBand="1"/>
      </w:tblPr>
      <w:tblGrid>
        <w:gridCol w:w="1800"/>
        <w:gridCol w:w="1440"/>
        <w:gridCol w:w="1260"/>
        <w:gridCol w:w="1440"/>
        <w:gridCol w:w="2610"/>
      </w:tblGrid>
      <w:tr w:rsidR="007C75BC" w:rsidRPr="0054366D" w14:paraId="7998D871" w14:textId="77777777" w:rsidTr="005F2DD5">
        <w:trPr>
          <w:trHeight w:val="413"/>
        </w:trPr>
        <w:tc>
          <w:tcPr>
            <w:tcW w:w="1800" w:type="dxa"/>
          </w:tcPr>
          <w:p w14:paraId="1EC1C728" w14:textId="41D4C7C0" w:rsidR="007C75BC" w:rsidRPr="0054366D" w:rsidRDefault="007C75BC" w:rsidP="005F2DD5">
            <w:pPr>
              <w:pStyle w:val="NormalWeb"/>
              <w:spacing w:before="0" w:beforeAutospacing="0" w:after="150" w:afterAutospacing="0"/>
              <w:jc w:val="center"/>
              <w:rPr>
                <w:rFonts w:ascii="Arial" w:hAnsi="Arial" w:cs="Arial"/>
                <w:color w:val="030A13"/>
                <w:sz w:val="22"/>
                <w:szCs w:val="22"/>
              </w:rPr>
            </w:pPr>
            <w:r w:rsidRPr="0054366D">
              <w:rPr>
                <w:rFonts w:ascii="Arial" w:hAnsi="Arial" w:cs="Arial"/>
                <w:spacing w:val="-4"/>
                <w:sz w:val="22"/>
                <w:szCs w:val="22"/>
              </w:rPr>
              <w:t>FY 2020</w:t>
            </w:r>
          </w:p>
        </w:tc>
        <w:tc>
          <w:tcPr>
            <w:tcW w:w="1440" w:type="dxa"/>
          </w:tcPr>
          <w:p w14:paraId="0B0204F4" w14:textId="205A0E44" w:rsidR="007C75BC" w:rsidRPr="0054366D" w:rsidRDefault="007C75BC" w:rsidP="005F2DD5">
            <w:pPr>
              <w:pStyle w:val="NormalWeb"/>
              <w:spacing w:before="0" w:beforeAutospacing="0" w:after="150" w:afterAutospacing="0"/>
              <w:jc w:val="center"/>
              <w:rPr>
                <w:rFonts w:ascii="Arial" w:hAnsi="Arial" w:cs="Arial"/>
                <w:color w:val="030A13"/>
                <w:sz w:val="22"/>
                <w:szCs w:val="22"/>
              </w:rPr>
            </w:pPr>
            <w:r w:rsidRPr="0054366D">
              <w:rPr>
                <w:rFonts w:ascii="Arial" w:hAnsi="Arial" w:cs="Arial"/>
                <w:spacing w:val="-4"/>
                <w:sz w:val="22"/>
                <w:szCs w:val="22"/>
              </w:rPr>
              <w:t>FY 2021</w:t>
            </w:r>
          </w:p>
        </w:tc>
        <w:tc>
          <w:tcPr>
            <w:tcW w:w="1260" w:type="dxa"/>
          </w:tcPr>
          <w:p w14:paraId="6784B9B0" w14:textId="02CD18D6" w:rsidR="007C75BC" w:rsidRPr="0054366D" w:rsidRDefault="007C75BC" w:rsidP="005F2DD5">
            <w:pPr>
              <w:pStyle w:val="NormalWeb"/>
              <w:spacing w:before="0" w:beforeAutospacing="0" w:after="150" w:afterAutospacing="0"/>
              <w:jc w:val="center"/>
              <w:rPr>
                <w:rFonts w:ascii="Arial" w:hAnsi="Arial" w:cs="Arial"/>
                <w:color w:val="030A13"/>
                <w:sz w:val="22"/>
                <w:szCs w:val="22"/>
              </w:rPr>
            </w:pPr>
            <w:r w:rsidRPr="0054366D">
              <w:rPr>
                <w:rFonts w:ascii="Arial" w:hAnsi="Arial" w:cs="Arial"/>
                <w:spacing w:val="-4"/>
                <w:sz w:val="22"/>
                <w:szCs w:val="22"/>
              </w:rPr>
              <w:t>FY 2022</w:t>
            </w:r>
          </w:p>
        </w:tc>
        <w:tc>
          <w:tcPr>
            <w:tcW w:w="1440" w:type="dxa"/>
          </w:tcPr>
          <w:p w14:paraId="69D485DA" w14:textId="517BB566" w:rsidR="007C75BC" w:rsidRPr="0054366D" w:rsidRDefault="007C75BC" w:rsidP="005F2DD5">
            <w:pPr>
              <w:pStyle w:val="NormalWeb"/>
              <w:spacing w:before="0" w:beforeAutospacing="0" w:after="150" w:afterAutospacing="0"/>
              <w:jc w:val="center"/>
              <w:rPr>
                <w:rFonts w:ascii="Arial" w:hAnsi="Arial" w:cs="Arial"/>
                <w:color w:val="030A13"/>
                <w:sz w:val="22"/>
                <w:szCs w:val="22"/>
              </w:rPr>
            </w:pPr>
            <w:r w:rsidRPr="0054366D">
              <w:rPr>
                <w:rFonts w:ascii="Arial" w:hAnsi="Arial" w:cs="Arial"/>
                <w:spacing w:val="-4"/>
                <w:sz w:val="22"/>
                <w:szCs w:val="22"/>
              </w:rPr>
              <w:t>FY 2023</w:t>
            </w:r>
          </w:p>
        </w:tc>
        <w:tc>
          <w:tcPr>
            <w:tcW w:w="2610" w:type="dxa"/>
          </w:tcPr>
          <w:p w14:paraId="191FF223" w14:textId="06C014DD" w:rsidR="007C75BC" w:rsidRPr="0054366D" w:rsidRDefault="004F159C" w:rsidP="005F2DD5">
            <w:pPr>
              <w:pStyle w:val="NormalWeb"/>
              <w:spacing w:before="0" w:beforeAutospacing="0" w:after="150" w:afterAutospacing="0"/>
              <w:jc w:val="center"/>
              <w:rPr>
                <w:rFonts w:ascii="Arial" w:hAnsi="Arial" w:cs="Arial"/>
                <w:color w:val="030A13"/>
                <w:sz w:val="22"/>
                <w:szCs w:val="22"/>
              </w:rPr>
            </w:pPr>
            <w:r w:rsidRPr="0054366D">
              <w:rPr>
                <w:rFonts w:ascii="Arial" w:hAnsi="Arial" w:cs="Arial"/>
                <w:color w:val="030A13"/>
                <w:sz w:val="22"/>
                <w:szCs w:val="22"/>
              </w:rPr>
              <w:t>AACTE Recommendation</w:t>
            </w:r>
          </w:p>
        </w:tc>
      </w:tr>
      <w:tr w:rsidR="007C75BC" w:rsidRPr="0054366D" w14:paraId="295C2183" w14:textId="77777777" w:rsidTr="005F2DD5">
        <w:tc>
          <w:tcPr>
            <w:tcW w:w="1800" w:type="dxa"/>
          </w:tcPr>
          <w:p w14:paraId="77B45BF0" w14:textId="31380A9D" w:rsidR="007C75BC" w:rsidRPr="0054366D" w:rsidRDefault="0045040D" w:rsidP="005F2DD5">
            <w:pPr>
              <w:pStyle w:val="NormalWeb"/>
              <w:spacing w:before="0" w:beforeAutospacing="0" w:after="150" w:afterAutospacing="0"/>
              <w:jc w:val="center"/>
              <w:rPr>
                <w:rFonts w:ascii="Arial" w:hAnsi="Arial" w:cs="Arial"/>
                <w:color w:val="030A13"/>
                <w:sz w:val="22"/>
                <w:szCs w:val="22"/>
              </w:rPr>
            </w:pPr>
            <w:r w:rsidRPr="0054366D">
              <w:rPr>
                <w:rFonts w:ascii="Arial" w:hAnsi="Arial" w:cs="Arial"/>
                <w:color w:val="030A13"/>
                <w:sz w:val="22"/>
                <w:szCs w:val="22"/>
              </w:rPr>
              <w:t>$0</w:t>
            </w:r>
          </w:p>
        </w:tc>
        <w:tc>
          <w:tcPr>
            <w:tcW w:w="1440" w:type="dxa"/>
          </w:tcPr>
          <w:p w14:paraId="5D37EDD0" w14:textId="53F68BDD" w:rsidR="007C75BC" w:rsidRPr="0054366D" w:rsidRDefault="0045040D" w:rsidP="005F2DD5">
            <w:pPr>
              <w:pStyle w:val="NormalWeb"/>
              <w:spacing w:before="0" w:beforeAutospacing="0" w:after="150" w:afterAutospacing="0"/>
              <w:jc w:val="center"/>
              <w:rPr>
                <w:rFonts w:ascii="Arial" w:hAnsi="Arial" w:cs="Arial"/>
                <w:color w:val="030A13"/>
                <w:sz w:val="22"/>
                <w:szCs w:val="22"/>
              </w:rPr>
            </w:pPr>
            <w:r w:rsidRPr="0054366D">
              <w:rPr>
                <w:rFonts w:ascii="Arial" w:hAnsi="Arial" w:cs="Arial"/>
                <w:color w:val="030A13"/>
                <w:sz w:val="22"/>
                <w:szCs w:val="22"/>
              </w:rPr>
              <w:t>$0</w:t>
            </w:r>
          </w:p>
        </w:tc>
        <w:tc>
          <w:tcPr>
            <w:tcW w:w="1260" w:type="dxa"/>
          </w:tcPr>
          <w:p w14:paraId="45AB267E" w14:textId="6FC914E0" w:rsidR="007C75BC" w:rsidRPr="0054366D" w:rsidRDefault="0045040D" w:rsidP="005F2DD5">
            <w:pPr>
              <w:pStyle w:val="NormalWeb"/>
              <w:spacing w:before="0" w:beforeAutospacing="0" w:after="150" w:afterAutospacing="0"/>
              <w:jc w:val="center"/>
              <w:rPr>
                <w:rFonts w:ascii="Arial" w:hAnsi="Arial" w:cs="Arial"/>
                <w:color w:val="030A13"/>
                <w:sz w:val="22"/>
                <w:szCs w:val="22"/>
              </w:rPr>
            </w:pPr>
            <w:r w:rsidRPr="0054366D">
              <w:rPr>
                <w:rFonts w:ascii="Arial" w:hAnsi="Arial" w:cs="Arial"/>
                <w:color w:val="030A13"/>
                <w:sz w:val="22"/>
                <w:szCs w:val="22"/>
              </w:rPr>
              <w:t>$</w:t>
            </w:r>
            <w:r w:rsidR="009540D6" w:rsidRPr="0054366D">
              <w:rPr>
                <w:rFonts w:ascii="Arial" w:hAnsi="Arial" w:cs="Arial"/>
                <w:color w:val="030A13"/>
                <w:sz w:val="22"/>
                <w:szCs w:val="22"/>
              </w:rPr>
              <w:t>8</w:t>
            </w:r>
          </w:p>
        </w:tc>
        <w:tc>
          <w:tcPr>
            <w:tcW w:w="1440" w:type="dxa"/>
          </w:tcPr>
          <w:p w14:paraId="51F0991F" w14:textId="0C261504" w:rsidR="007C75BC" w:rsidRPr="0054366D" w:rsidRDefault="006C18FA" w:rsidP="005F2DD5">
            <w:pPr>
              <w:pStyle w:val="NormalWeb"/>
              <w:spacing w:before="0" w:beforeAutospacing="0" w:after="150" w:afterAutospacing="0"/>
              <w:jc w:val="center"/>
              <w:rPr>
                <w:rFonts w:ascii="Arial" w:hAnsi="Arial" w:cs="Arial"/>
                <w:color w:val="030A13"/>
                <w:sz w:val="22"/>
                <w:szCs w:val="22"/>
              </w:rPr>
            </w:pPr>
            <w:r w:rsidRPr="0054366D">
              <w:rPr>
                <w:rFonts w:ascii="Arial" w:hAnsi="Arial" w:cs="Arial"/>
                <w:color w:val="030A13"/>
                <w:sz w:val="22"/>
                <w:szCs w:val="22"/>
              </w:rPr>
              <w:t>$1</w:t>
            </w:r>
            <w:r w:rsidR="009133DE" w:rsidRPr="0054366D">
              <w:rPr>
                <w:rFonts w:ascii="Arial" w:hAnsi="Arial" w:cs="Arial"/>
                <w:color w:val="030A13"/>
                <w:sz w:val="22"/>
                <w:szCs w:val="22"/>
              </w:rPr>
              <w:t>5</w:t>
            </w:r>
          </w:p>
        </w:tc>
        <w:tc>
          <w:tcPr>
            <w:tcW w:w="2610" w:type="dxa"/>
          </w:tcPr>
          <w:p w14:paraId="162F22F0" w14:textId="45767CC8" w:rsidR="007C75BC" w:rsidRPr="0054366D" w:rsidRDefault="005F2DD5" w:rsidP="005F2DD5">
            <w:pPr>
              <w:pStyle w:val="NormalWeb"/>
              <w:spacing w:before="0" w:beforeAutospacing="0" w:after="150" w:afterAutospacing="0"/>
              <w:jc w:val="center"/>
              <w:rPr>
                <w:rFonts w:ascii="Arial" w:hAnsi="Arial" w:cs="Arial"/>
                <w:color w:val="030A13"/>
                <w:sz w:val="22"/>
                <w:szCs w:val="22"/>
              </w:rPr>
            </w:pPr>
            <w:r w:rsidRPr="0054366D">
              <w:rPr>
                <w:rFonts w:ascii="Arial" w:hAnsi="Arial" w:cs="Arial"/>
                <w:color w:val="030A13"/>
                <w:sz w:val="22"/>
                <w:szCs w:val="22"/>
              </w:rPr>
              <w:t>$30</w:t>
            </w:r>
            <w:r w:rsidR="004177D6">
              <w:rPr>
                <w:rFonts w:ascii="Arial" w:hAnsi="Arial" w:cs="Arial"/>
                <w:color w:val="030A13"/>
                <w:sz w:val="22"/>
                <w:szCs w:val="22"/>
              </w:rPr>
              <w:t>0</w:t>
            </w:r>
          </w:p>
        </w:tc>
      </w:tr>
    </w:tbl>
    <w:p w14:paraId="78840C28" w14:textId="77777777" w:rsidR="007C75BC" w:rsidRDefault="007C75BC" w:rsidP="00217142">
      <w:pPr>
        <w:pStyle w:val="NormalWeb"/>
        <w:shd w:val="clear" w:color="auto" w:fill="FFFFFF"/>
        <w:spacing w:before="0" w:beforeAutospacing="0" w:after="150" w:afterAutospacing="0"/>
        <w:rPr>
          <w:rFonts w:ascii="Helvetica" w:hAnsi="Helvetica" w:cs="Helvetica"/>
          <w:color w:val="030A13"/>
          <w:sz w:val="21"/>
          <w:szCs w:val="21"/>
        </w:rPr>
      </w:pPr>
    </w:p>
    <w:p w14:paraId="53582F87" w14:textId="77777777" w:rsidR="007C75BC" w:rsidRDefault="007C75BC" w:rsidP="00217142">
      <w:pPr>
        <w:pStyle w:val="NormalWeb"/>
        <w:shd w:val="clear" w:color="auto" w:fill="FFFFFF"/>
        <w:spacing w:before="0" w:beforeAutospacing="0" w:after="150" w:afterAutospacing="0"/>
        <w:rPr>
          <w:rFonts w:ascii="Helvetica" w:hAnsi="Helvetica" w:cs="Helvetica"/>
          <w:color w:val="030A13"/>
          <w:sz w:val="21"/>
          <w:szCs w:val="21"/>
        </w:rPr>
      </w:pPr>
    </w:p>
    <w:p w14:paraId="799F6BD7" w14:textId="77777777" w:rsidR="007C75BC" w:rsidRDefault="007C75BC" w:rsidP="00217142">
      <w:pPr>
        <w:pStyle w:val="NormalWeb"/>
        <w:shd w:val="clear" w:color="auto" w:fill="FFFFFF"/>
        <w:spacing w:before="0" w:beforeAutospacing="0" w:after="150" w:afterAutospacing="0"/>
        <w:rPr>
          <w:rFonts w:ascii="Helvetica" w:hAnsi="Helvetica" w:cs="Helvetica"/>
          <w:color w:val="030A13"/>
          <w:sz w:val="21"/>
          <w:szCs w:val="21"/>
        </w:rPr>
      </w:pPr>
    </w:p>
    <w:p w14:paraId="5BE74AA2" w14:textId="77777777" w:rsidR="00184955" w:rsidRDefault="00184955" w:rsidP="00217142">
      <w:pPr>
        <w:pStyle w:val="NormalWeb"/>
        <w:shd w:val="clear" w:color="auto" w:fill="FFFFFF"/>
        <w:spacing w:before="0" w:beforeAutospacing="0" w:after="150" w:afterAutospacing="0"/>
        <w:rPr>
          <w:rFonts w:ascii="Helvetica" w:hAnsi="Helvetica" w:cs="Helvetica"/>
          <w:color w:val="030A13"/>
          <w:sz w:val="21"/>
          <w:szCs w:val="21"/>
        </w:rPr>
      </w:pPr>
    </w:p>
    <w:p w14:paraId="156C8253" w14:textId="77777777" w:rsidR="0045040D" w:rsidRDefault="0045040D" w:rsidP="00217142">
      <w:pPr>
        <w:pStyle w:val="NormalWeb"/>
        <w:shd w:val="clear" w:color="auto" w:fill="FFFFFF"/>
        <w:spacing w:before="0" w:beforeAutospacing="0" w:after="150" w:afterAutospacing="0"/>
        <w:rPr>
          <w:rFonts w:ascii="Helvetica" w:hAnsi="Helvetica" w:cs="Helvetica"/>
          <w:color w:val="030A13"/>
          <w:sz w:val="21"/>
          <w:szCs w:val="21"/>
        </w:rPr>
      </w:pPr>
    </w:p>
    <w:p w14:paraId="0E919AE3" w14:textId="51D2A500" w:rsidR="00217142" w:rsidRPr="00217142" w:rsidRDefault="004F159C" w:rsidP="00217142">
      <w:pPr>
        <w:jc w:val="center"/>
        <w:rPr>
          <w:b/>
          <w:bCs/>
          <w:sz w:val="28"/>
          <w:szCs w:val="28"/>
        </w:rPr>
      </w:pPr>
      <w:r>
        <w:rPr>
          <w:b/>
          <w:bCs/>
          <w:sz w:val="28"/>
          <w:szCs w:val="28"/>
        </w:rPr>
        <w:lastRenderedPageBreak/>
        <w:t>2</w:t>
      </w:r>
      <w:r w:rsidR="00217142" w:rsidRPr="00217142">
        <w:rPr>
          <w:b/>
          <w:bCs/>
          <w:sz w:val="28"/>
          <w:szCs w:val="28"/>
        </w:rPr>
        <w:t>02</w:t>
      </w:r>
      <w:r w:rsidR="00461F1E">
        <w:rPr>
          <w:b/>
          <w:bCs/>
          <w:sz w:val="28"/>
          <w:szCs w:val="28"/>
        </w:rPr>
        <w:t>3</w:t>
      </w:r>
      <w:r w:rsidR="00217142" w:rsidRPr="00217142">
        <w:rPr>
          <w:b/>
          <w:bCs/>
          <w:sz w:val="28"/>
          <w:szCs w:val="28"/>
        </w:rPr>
        <w:t xml:space="preserve"> GRANT RECIPIENTS</w:t>
      </w:r>
    </w:p>
    <w:tbl>
      <w:tblPr>
        <w:tblW w:w="11160" w:type="dxa"/>
        <w:tblInd w:w="-72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50"/>
        <w:gridCol w:w="577"/>
        <w:gridCol w:w="1128"/>
        <w:gridCol w:w="7205"/>
      </w:tblGrid>
      <w:tr w:rsidR="00217142" w:rsidRPr="00217142" w14:paraId="147DB569" w14:textId="77777777" w:rsidTr="00217142">
        <w:trPr>
          <w:trHeight w:val="264"/>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932BCD" w14:textId="77777777" w:rsidR="00217142" w:rsidRPr="00217142" w:rsidRDefault="00217142" w:rsidP="00217142">
            <w:pPr>
              <w:spacing w:after="0" w:line="240" w:lineRule="auto"/>
              <w:rPr>
                <w:rFonts w:ascii="Arial" w:eastAsia="Times New Roman" w:hAnsi="Arial" w:cs="Arial"/>
                <w:color w:val="030A13"/>
                <w:kern w:val="0"/>
                <w:sz w:val="19"/>
                <w:szCs w:val="19"/>
                <w14:ligatures w14:val="none"/>
              </w:rPr>
            </w:pPr>
            <w:r w:rsidRPr="00217142">
              <w:rPr>
                <w:rFonts w:ascii="Arial" w:eastAsia="Times New Roman" w:hAnsi="Arial" w:cs="Arial"/>
                <w:b/>
                <w:bCs/>
                <w:color w:val="030A13"/>
                <w:kern w:val="0"/>
                <w:sz w:val="19"/>
                <w:szCs w:val="19"/>
                <w14:ligatures w14:val="none"/>
              </w:rPr>
              <w:t>Grantee</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043283"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b/>
                <w:bCs/>
                <w:color w:val="030A13"/>
                <w:kern w:val="0"/>
                <w:sz w:val="19"/>
                <w:szCs w:val="19"/>
                <w14:ligatures w14:val="none"/>
              </w:rPr>
              <w:t>State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1299AB"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b/>
                <w:bCs/>
                <w:color w:val="030A13"/>
                <w:kern w:val="0"/>
                <w:sz w:val="19"/>
                <w:szCs w:val="19"/>
                <w14:ligatures w14:val="none"/>
              </w:rPr>
              <w:t>Award</w:t>
            </w:r>
          </w:p>
        </w:tc>
        <w:tc>
          <w:tcPr>
            <w:tcW w:w="7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9DF2F0"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b/>
                <w:bCs/>
                <w:color w:val="030A13"/>
                <w:kern w:val="0"/>
                <w:sz w:val="19"/>
                <w:szCs w:val="19"/>
                <w14:ligatures w14:val="none"/>
              </w:rPr>
              <w:t>Project Summary</w:t>
            </w:r>
          </w:p>
        </w:tc>
      </w:tr>
      <w:tr w:rsidR="00217142" w:rsidRPr="00217142" w14:paraId="5AE7A480" w14:textId="77777777" w:rsidTr="00217142">
        <w:trPr>
          <w:trHeight w:val="687"/>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A536EA"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California State University Dominguez Hills</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388A93"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28DB87"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$1,599,946</w:t>
            </w:r>
          </w:p>
        </w:tc>
        <w:tc>
          <w:tcPr>
            <w:tcW w:w="7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7AB7BE"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Increase number of teachers of color credentialed through teacher training and bilingual programs, and increase wraparound supports to improve completion and retention of future educators.</w:t>
            </w:r>
          </w:p>
        </w:tc>
      </w:tr>
      <w:tr w:rsidR="00217142" w:rsidRPr="00217142" w14:paraId="2DD99240" w14:textId="77777777" w:rsidTr="00217142">
        <w:trPr>
          <w:trHeight w:val="543"/>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9EB059"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Metropolitan State University</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E004BE"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CO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22F8FE"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$1,571,926</w:t>
            </w:r>
          </w:p>
        </w:tc>
        <w:tc>
          <w:tcPr>
            <w:tcW w:w="7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B6E770"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Increase completion rates of traditionally underrepresented students by providing comprehensive support for current and prospective students.</w:t>
            </w:r>
          </w:p>
        </w:tc>
      </w:tr>
      <w:tr w:rsidR="00217142" w:rsidRPr="00217142" w14:paraId="5D9F963D" w14:textId="77777777" w:rsidTr="00217142">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CC5D92"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Florida International University</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2E65FB"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FL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B3402"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$1,565,498</w:t>
            </w:r>
          </w:p>
        </w:tc>
        <w:tc>
          <w:tcPr>
            <w:tcW w:w="7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D72B29"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Create four teacher preparation tracks, including a cohort of paraprofessionals already in partnering districts, two cohorts of English speakers, two cohorts bilingual Spanish/English speakers, and two cohorts of bilingual Haitian Creole/English. The program will reduce the barriers that typically affect enrollment in teacher preparation programs, including paid teaching experiences, test preparation, and dedicated advising.</w:t>
            </w:r>
          </w:p>
        </w:tc>
      </w:tr>
      <w:tr w:rsidR="00217142" w:rsidRPr="00217142" w14:paraId="6BCCE968" w14:textId="77777777" w:rsidTr="00217142">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5393E7"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University of Hawaii</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5DD46A"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AADBFE"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$1,592,314</w:t>
            </w:r>
          </w:p>
        </w:tc>
        <w:tc>
          <w:tcPr>
            <w:tcW w:w="7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C69848"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Expand existing special educator training to increase and retain more bilingual/multilingual teachers of color to serve students in the rural and remote areas across Hawaii.</w:t>
            </w:r>
          </w:p>
        </w:tc>
      </w:tr>
      <w:tr w:rsidR="00217142" w:rsidRPr="00217142" w14:paraId="04B1FC8A" w14:textId="77777777" w:rsidTr="00217142">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232029"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National Louis University</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959597"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98B3C0"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$1,341,279</w:t>
            </w:r>
          </w:p>
        </w:tc>
        <w:tc>
          <w:tcPr>
            <w:tcW w:w="7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3483D3"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Implement three multi-pathway residency programs designed specifically to increase the access, participation and success of diverse and multilingual school paraprofessionals by incorporating culturally responsive teaching and learning standards, an evidence-based learning community, and multilingual supports for academic and licensure success.</w:t>
            </w:r>
          </w:p>
        </w:tc>
      </w:tr>
      <w:tr w:rsidR="00217142" w:rsidRPr="00217142" w14:paraId="7228B578" w14:textId="77777777" w:rsidTr="00217142">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31E72A"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Bowie State University</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7E1678"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MD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30B5C2"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$1,589,014</w:t>
            </w:r>
          </w:p>
        </w:tc>
        <w:tc>
          <w:tcPr>
            <w:tcW w:w="7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B9CE36"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Recruit and prepare black male educators in early childhood/special education, elementary, or secondary education who can provide effective, culturally relevant/responsive instruction and work with minoritized students and families</w:t>
            </w:r>
          </w:p>
        </w:tc>
      </w:tr>
      <w:tr w:rsidR="00217142" w:rsidRPr="00217142" w14:paraId="6CD66F2E" w14:textId="77777777" w:rsidTr="00217142">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C6C437"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William Paterson University of New Jersey</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624321"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NJ</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B617F7"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$1,599,999</w:t>
            </w:r>
          </w:p>
        </w:tc>
        <w:tc>
          <w:tcPr>
            <w:tcW w:w="7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C22372"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Provide support to school districts throughout the area near Wayne, NJ, to focus on reducing barriers in teacher recruitment, placing teacher candidates in high need areas, and support high need areas through university-district partnerships. The long-term goal is to replicate these practices in school districts around the state.</w:t>
            </w:r>
          </w:p>
        </w:tc>
      </w:tr>
      <w:tr w:rsidR="00217142" w:rsidRPr="00217142" w14:paraId="488CFAF5" w14:textId="77777777" w:rsidTr="00217142">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741C57"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Medgar Evers College of the City of New York</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702446"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NY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2C7635"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$1,599,738</w:t>
            </w:r>
          </w:p>
        </w:tc>
        <w:tc>
          <w:tcPr>
            <w:tcW w:w="7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BFB4EF"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Increase the number of teachers of color with career paths in high needs neighborhoods in Brooklyn, the number of bilingual teachers of color to serve a diverse student body, and teacher effectiveness.</w:t>
            </w:r>
          </w:p>
        </w:tc>
      </w:tr>
      <w:tr w:rsidR="00217142" w:rsidRPr="00217142" w14:paraId="5F34A3FE" w14:textId="77777777" w:rsidTr="00217142">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846371"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Northeastern State University</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E7C91B"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OK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1AEF98"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$1,512,832</w:t>
            </w:r>
          </w:p>
        </w:tc>
        <w:tc>
          <w:tcPr>
            <w:tcW w:w="7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666B70"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Provide support for the needs of teachers and teacher candidates on tribal land in the surrounding area and region, so there is one common place to find assistance such as scholarships and professional development.</w:t>
            </w:r>
          </w:p>
        </w:tc>
      </w:tr>
      <w:tr w:rsidR="00217142" w:rsidRPr="00217142" w14:paraId="7A510828" w14:textId="77777777" w:rsidTr="00217142">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842E3B"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University of Texas El Paso</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EE3093"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CA5883"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$1,586,079</w:t>
            </w:r>
          </w:p>
        </w:tc>
        <w:tc>
          <w:tcPr>
            <w:tcW w:w="7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FB2681C"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Recruit and train teachers, focusing on Latino teacher recruitment, in high-need certifications such as bilingual and special education.</w:t>
            </w:r>
          </w:p>
        </w:tc>
      </w:tr>
      <w:tr w:rsidR="00217142" w:rsidRPr="00217142" w14:paraId="32DF7E3D" w14:textId="77777777" w:rsidTr="00217142">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B2EED4"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University of Houston Clear Lake</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80FE14"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A00E8C"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$1,599,669</w:t>
            </w:r>
          </w:p>
        </w:tc>
        <w:tc>
          <w:tcPr>
            <w:tcW w:w="7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5ADD10"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The project this grant will support is the STEM4ALL program supporting the recruitment, retention, and support for 30 new preservice students, who will become educators in STEM.</w:t>
            </w:r>
          </w:p>
        </w:tc>
      </w:tr>
      <w:tr w:rsidR="00217142" w:rsidRPr="00217142" w14:paraId="17A3C79E" w14:textId="77777777" w:rsidTr="00217142">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AB251"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Sam Houston State University</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97A432"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82D2AE"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$1,599,900</w:t>
            </w:r>
          </w:p>
        </w:tc>
        <w:tc>
          <w:tcPr>
            <w:tcW w:w="7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D91FC0"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The grant will enhance the services of an existing program between a University Teacher Preparation Program (TPP) and a consortium of high-needs school districts.</w:t>
            </w:r>
          </w:p>
        </w:tc>
      </w:tr>
      <w:tr w:rsidR="00217142" w:rsidRPr="00217142" w14:paraId="260754B2" w14:textId="77777777" w:rsidTr="00217142">
        <w:trPr>
          <w:trHeight w:val="255"/>
        </w:trPr>
        <w:tc>
          <w:tcPr>
            <w:tcW w:w="22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2DBB17"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b/>
                <w:bCs/>
                <w:color w:val="030A13"/>
                <w:kern w:val="0"/>
                <w:sz w:val="19"/>
                <w:szCs w:val="19"/>
                <w14:ligatures w14:val="none"/>
              </w:rPr>
              <w:t>TOTAL</w:t>
            </w:r>
          </w:p>
        </w:tc>
        <w:tc>
          <w:tcPr>
            <w:tcW w:w="5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6F07CB"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b/>
                <w:bCs/>
                <w:color w:val="030A13"/>
                <w:kern w:val="0"/>
                <w:sz w:val="19"/>
                <w:szCs w:val="19"/>
                <w14:ligatures w14:val="none"/>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8AD78F"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b/>
                <w:bCs/>
                <w:color w:val="030A13"/>
                <w:kern w:val="0"/>
                <w:sz w:val="19"/>
                <w:szCs w:val="19"/>
                <w14:ligatures w14:val="none"/>
              </w:rPr>
              <w:t>$18,758,194</w:t>
            </w:r>
          </w:p>
        </w:tc>
        <w:tc>
          <w:tcPr>
            <w:tcW w:w="7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7C3B9A" w14:textId="77777777" w:rsidR="00217142" w:rsidRPr="00217142" w:rsidRDefault="00217142" w:rsidP="00217142">
            <w:pPr>
              <w:spacing w:after="150" w:line="240" w:lineRule="auto"/>
              <w:rPr>
                <w:rFonts w:ascii="Arial" w:eastAsia="Times New Roman" w:hAnsi="Arial" w:cs="Arial"/>
                <w:color w:val="030A13"/>
                <w:kern w:val="0"/>
                <w:sz w:val="19"/>
                <w:szCs w:val="19"/>
                <w14:ligatures w14:val="none"/>
              </w:rPr>
            </w:pPr>
            <w:r w:rsidRPr="00217142">
              <w:rPr>
                <w:rFonts w:ascii="Arial" w:eastAsia="Times New Roman" w:hAnsi="Arial" w:cs="Arial"/>
                <w:color w:val="030A13"/>
                <w:kern w:val="0"/>
                <w:sz w:val="19"/>
                <w:szCs w:val="19"/>
                <w14:ligatures w14:val="none"/>
              </w:rPr>
              <w:t> </w:t>
            </w:r>
          </w:p>
        </w:tc>
      </w:tr>
    </w:tbl>
    <w:p w14:paraId="4C36F8C8" w14:textId="77777777" w:rsidR="00217142" w:rsidRDefault="00217142" w:rsidP="00217142">
      <w:pPr>
        <w:autoSpaceDE w:val="0"/>
        <w:autoSpaceDN w:val="0"/>
        <w:adjustRightInd w:val="0"/>
        <w:spacing w:after="0" w:line="240" w:lineRule="auto"/>
        <w:rPr>
          <w:rFonts w:eastAsiaTheme="minorEastAsia" w:cstheme="minorHAnsi"/>
          <w:color w:val="000000" w:themeColor="text1"/>
          <w:kern w:val="0"/>
          <w14:ligatures w14:val="none"/>
        </w:rPr>
      </w:pPr>
    </w:p>
    <w:p w14:paraId="48154794" w14:textId="77777777" w:rsidR="00217142" w:rsidRDefault="00217142" w:rsidP="00217142">
      <w:pPr>
        <w:autoSpaceDE w:val="0"/>
        <w:autoSpaceDN w:val="0"/>
        <w:adjustRightInd w:val="0"/>
        <w:spacing w:after="0" w:line="240" w:lineRule="auto"/>
        <w:rPr>
          <w:rFonts w:eastAsiaTheme="minorEastAsia" w:cstheme="minorHAnsi"/>
          <w:color w:val="000000" w:themeColor="text1"/>
          <w:kern w:val="0"/>
          <w14:ligatures w14:val="none"/>
        </w:rPr>
      </w:pPr>
    </w:p>
    <w:p w14:paraId="0D146508" w14:textId="57FF6AAE" w:rsidR="00217142" w:rsidRDefault="00217142" w:rsidP="00217142">
      <w:pPr>
        <w:autoSpaceDE w:val="0"/>
        <w:autoSpaceDN w:val="0"/>
        <w:adjustRightInd w:val="0"/>
        <w:spacing w:after="0" w:line="240" w:lineRule="auto"/>
        <w:jc w:val="center"/>
      </w:pPr>
      <w:r w:rsidRPr="00217142">
        <w:rPr>
          <w:rFonts w:ascii="Arial" w:hAnsi="Arial" w:cs="Arial"/>
          <w:noProof/>
          <w:kern w:val="0"/>
          <w:sz w:val="20"/>
          <w:szCs w:val="20"/>
          <w14:ligatures w14:val="none"/>
        </w:rPr>
        <mc:AlternateContent>
          <mc:Choice Requires="wps">
            <w:drawing>
              <wp:anchor distT="0" distB="0" distL="114300" distR="114300" simplePos="0" relativeHeight="251659264" behindDoc="0" locked="0" layoutInCell="1" allowOverlap="1" wp14:anchorId="571738A6" wp14:editId="30E51884">
                <wp:simplePos x="0" y="0"/>
                <wp:positionH relativeFrom="column">
                  <wp:posOffset>-1005840</wp:posOffset>
                </wp:positionH>
                <wp:positionV relativeFrom="paragraph">
                  <wp:posOffset>9502140</wp:posOffset>
                </wp:positionV>
                <wp:extent cx="7909560" cy="2667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7909560" cy="266700"/>
                        </a:xfrm>
                        <a:prstGeom prst="rect">
                          <a:avLst/>
                        </a:prstGeom>
                        <a:solidFill>
                          <a:srgbClr val="5B9BD5">
                            <a:lumMod val="5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0BA47" id="Rectangle 3" o:spid="_x0000_s1026" style="position:absolute;margin-left:-79.2pt;margin-top:748.2pt;width:622.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" fillcolor="#1f4e79" strokecolor="#2f528f" strokeweight="1pt"/>
            </w:pict>
          </mc:Fallback>
        </mc:AlternateContent>
      </w:r>
      <w:r w:rsidRPr="00217142">
        <w:rPr>
          <w:rFonts w:eastAsiaTheme="minorEastAsia" w:cstheme="minorHAnsi"/>
          <w:color w:val="000000" w:themeColor="text1"/>
          <w:kern w:val="0"/>
          <w14:ligatures w14:val="none"/>
        </w:rPr>
        <w:t xml:space="preserve">For more information: </w:t>
      </w:r>
      <w:hyperlink r:id="rId13" w:history="1">
        <w:r w:rsidRPr="00217142">
          <w:rPr>
            <w:rFonts w:eastAsiaTheme="minorEastAsia" w:cstheme="minorHAnsi"/>
            <w:color w:val="0563C1" w:themeColor="hyperlink"/>
            <w:kern w:val="0"/>
            <w:u w:val="single"/>
            <w14:ligatures w14:val="none"/>
          </w:rPr>
          <w:t>www.aacte.org</w:t>
        </w:r>
      </w:hyperlink>
      <w:r w:rsidRPr="00217142">
        <w:rPr>
          <w:rFonts w:eastAsiaTheme="minorEastAsia" w:cstheme="minorHAnsi"/>
          <w:color w:val="000000" w:themeColor="text1"/>
          <w:kern w:val="0"/>
          <w14:ligatures w14:val="none"/>
        </w:rPr>
        <w:t xml:space="preserve"> or </w:t>
      </w:r>
      <w:hyperlink r:id="rId14" w:history="1">
        <w:r w:rsidRPr="00217142">
          <w:rPr>
            <w:rFonts w:eastAsiaTheme="minorEastAsia" w:cstheme="minorHAnsi"/>
            <w:color w:val="0563C1" w:themeColor="hyperlink"/>
            <w:kern w:val="0"/>
            <w:u w:val="single"/>
            <w14:ligatures w14:val="none"/>
          </w:rPr>
          <w:t>mrose@aacte.org</w:t>
        </w:r>
      </w:hyperlink>
    </w:p>
    <w:sectPr w:rsidR="002171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1FB5" w14:textId="77777777" w:rsidR="005A7D07" w:rsidRDefault="005A7D07" w:rsidP="00217142">
      <w:pPr>
        <w:spacing w:after="0" w:line="240" w:lineRule="auto"/>
      </w:pPr>
      <w:r>
        <w:separator/>
      </w:r>
    </w:p>
  </w:endnote>
  <w:endnote w:type="continuationSeparator" w:id="0">
    <w:p w14:paraId="44AC8B2C" w14:textId="77777777" w:rsidR="005A7D07" w:rsidRDefault="005A7D07" w:rsidP="0021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D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F6B48" w14:textId="77777777" w:rsidR="005A7D07" w:rsidRDefault="005A7D07" w:rsidP="00217142">
      <w:pPr>
        <w:spacing w:after="0" w:line="240" w:lineRule="auto"/>
      </w:pPr>
      <w:r>
        <w:separator/>
      </w:r>
    </w:p>
  </w:footnote>
  <w:footnote w:type="continuationSeparator" w:id="0">
    <w:p w14:paraId="5816D88D" w14:textId="77777777" w:rsidR="005A7D07" w:rsidRDefault="005A7D07" w:rsidP="00217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A19F3"/>
    <w:multiLevelType w:val="multilevel"/>
    <w:tmpl w:val="4E10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4708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42"/>
    <w:rsid w:val="000350DF"/>
    <w:rsid w:val="00184955"/>
    <w:rsid w:val="00217142"/>
    <w:rsid w:val="0026190A"/>
    <w:rsid w:val="002D237F"/>
    <w:rsid w:val="004177D6"/>
    <w:rsid w:val="0045040D"/>
    <w:rsid w:val="00461F1E"/>
    <w:rsid w:val="004F159C"/>
    <w:rsid w:val="0054366D"/>
    <w:rsid w:val="005A7D07"/>
    <w:rsid w:val="005F2DD5"/>
    <w:rsid w:val="006246C0"/>
    <w:rsid w:val="006C18FA"/>
    <w:rsid w:val="00753F17"/>
    <w:rsid w:val="007C75BC"/>
    <w:rsid w:val="00801EC9"/>
    <w:rsid w:val="008E35E7"/>
    <w:rsid w:val="009133DE"/>
    <w:rsid w:val="009540D6"/>
    <w:rsid w:val="00A724FD"/>
    <w:rsid w:val="00B447FF"/>
    <w:rsid w:val="00BF2C2C"/>
    <w:rsid w:val="00BF6932"/>
    <w:rsid w:val="00C519E2"/>
    <w:rsid w:val="00DF6389"/>
    <w:rsid w:val="00EF7FD1"/>
    <w:rsid w:val="00F73FE8"/>
    <w:rsid w:val="00FC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F2BE"/>
  <w15:chartTrackingRefBased/>
  <w15:docId w15:val="{7ED41BE6-C6F2-4F69-98CB-79876458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7142"/>
    <w:rPr>
      <w:b/>
      <w:bCs/>
    </w:rPr>
  </w:style>
  <w:style w:type="paragraph" w:styleId="NormalWeb">
    <w:name w:val="Normal (Web)"/>
    <w:basedOn w:val="Normal"/>
    <w:uiPriority w:val="99"/>
    <w:semiHidden/>
    <w:unhideWhenUsed/>
    <w:rsid w:val="002171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17142"/>
    <w:rPr>
      <w:color w:val="0000FF"/>
      <w:u w:val="single"/>
    </w:rPr>
  </w:style>
  <w:style w:type="paragraph" w:styleId="Header">
    <w:name w:val="header"/>
    <w:basedOn w:val="Normal"/>
    <w:link w:val="HeaderChar"/>
    <w:uiPriority w:val="99"/>
    <w:unhideWhenUsed/>
    <w:rsid w:val="00217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142"/>
  </w:style>
  <w:style w:type="paragraph" w:styleId="Footer">
    <w:name w:val="footer"/>
    <w:basedOn w:val="Normal"/>
    <w:link w:val="FooterChar"/>
    <w:uiPriority w:val="99"/>
    <w:unhideWhenUsed/>
    <w:rsid w:val="00217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142"/>
  </w:style>
  <w:style w:type="table" w:styleId="TableGrid">
    <w:name w:val="Table Grid"/>
    <w:basedOn w:val="TableNormal"/>
    <w:uiPriority w:val="39"/>
    <w:rsid w:val="007C7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slevel2">
    <w:name w:val="headerslevel2"/>
    <w:basedOn w:val="DefaultParagraphFont"/>
    <w:rsid w:val="000350DF"/>
  </w:style>
  <w:style w:type="character" w:styleId="FollowedHyperlink">
    <w:name w:val="FollowedHyperlink"/>
    <w:basedOn w:val="DefaultParagraphFont"/>
    <w:uiPriority w:val="99"/>
    <w:semiHidden/>
    <w:unhideWhenUsed/>
    <w:rsid w:val="00EF7F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827890">
      <w:bodyDiv w:val="1"/>
      <w:marLeft w:val="0"/>
      <w:marRight w:val="0"/>
      <w:marTop w:val="0"/>
      <w:marBottom w:val="0"/>
      <w:divBdr>
        <w:top w:val="none" w:sz="0" w:space="0" w:color="auto"/>
        <w:left w:val="none" w:sz="0" w:space="0" w:color="auto"/>
        <w:bottom w:val="none" w:sz="0" w:space="0" w:color="auto"/>
        <w:right w:val="none" w:sz="0" w:space="0" w:color="auto"/>
      </w:divBdr>
    </w:div>
    <w:div w:id="1586958615">
      <w:bodyDiv w:val="1"/>
      <w:marLeft w:val="0"/>
      <w:marRight w:val="0"/>
      <w:marTop w:val="0"/>
      <w:marBottom w:val="0"/>
      <w:divBdr>
        <w:top w:val="none" w:sz="0" w:space="0" w:color="auto"/>
        <w:left w:val="none" w:sz="0" w:space="0" w:color="auto"/>
        <w:bottom w:val="none" w:sz="0" w:space="0" w:color="auto"/>
        <w:right w:val="none" w:sz="0" w:space="0" w:color="auto"/>
      </w:divBdr>
    </w:div>
    <w:div w:id="1713118183">
      <w:bodyDiv w:val="1"/>
      <w:marLeft w:val="0"/>
      <w:marRight w:val="0"/>
      <w:marTop w:val="0"/>
      <w:marBottom w:val="0"/>
      <w:divBdr>
        <w:top w:val="none" w:sz="0" w:space="0" w:color="auto"/>
        <w:left w:val="none" w:sz="0" w:space="0" w:color="auto"/>
        <w:bottom w:val="none" w:sz="0" w:space="0" w:color="auto"/>
        <w:right w:val="none" w:sz="0" w:space="0" w:color="auto"/>
      </w:divBdr>
    </w:div>
    <w:div w:id="2114350768">
      <w:bodyDiv w:val="1"/>
      <w:marLeft w:val="0"/>
      <w:marRight w:val="0"/>
      <w:marTop w:val="0"/>
      <w:marBottom w:val="0"/>
      <w:divBdr>
        <w:top w:val="none" w:sz="0" w:space="0" w:color="auto"/>
        <w:left w:val="none" w:sz="0" w:space="0" w:color="auto"/>
        <w:bottom w:val="none" w:sz="0" w:space="0" w:color="auto"/>
        <w:right w:val="none" w:sz="0" w:space="0" w:color="auto"/>
      </w:divBdr>
      <w:divsChild>
        <w:div w:id="1677421778">
          <w:marLeft w:val="0"/>
          <w:marRight w:val="0"/>
          <w:marTop w:val="0"/>
          <w:marBottom w:val="0"/>
          <w:divBdr>
            <w:top w:val="none" w:sz="0" w:space="0" w:color="auto"/>
            <w:left w:val="none" w:sz="0" w:space="0" w:color="auto"/>
            <w:bottom w:val="none" w:sz="0" w:space="0" w:color="auto"/>
            <w:right w:val="none" w:sz="0" w:space="0" w:color="auto"/>
          </w:divBdr>
        </w:div>
        <w:div w:id="1302005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act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ces.ed.gov/pubs2020/2020103/index.asp?utm_content=&amp;utm_medium=email&amp;utm_name=&amp;utm_source=govdelivery&amp;utm_ter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gov/programs/afhce/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rose@aa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83632d-e17e-430b-b60d-cacafcb3607f">
      <Terms xmlns="http://schemas.microsoft.com/office/infopath/2007/PartnerControls"/>
    </lcf76f155ced4ddcb4097134ff3c332f>
    <TaxCatchAll xmlns="57d0460a-053e-457d-b817-ce1539ddf3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E08AFA590E2D47A8A6A0B37ACB7EAF" ma:contentTypeVersion="22" ma:contentTypeDescription="Create a new document." ma:contentTypeScope="" ma:versionID="39d9e830a1d11783f994bf3d973264c5">
  <xsd:schema xmlns:xsd="http://www.w3.org/2001/XMLSchema" xmlns:xs="http://www.w3.org/2001/XMLSchema" xmlns:p="http://schemas.microsoft.com/office/2006/metadata/properties" xmlns:ns2="5783632d-e17e-430b-b60d-cacafcb3607f" xmlns:ns3="57d0460a-053e-457d-b817-ce1539ddf396" targetNamespace="http://schemas.microsoft.com/office/2006/metadata/properties" ma:root="true" ma:fieldsID="4627131e63099274e50dedf023a3eb8c" ns2:_="" ns3:_="">
    <xsd:import namespace="5783632d-e17e-430b-b60d-cacafcb3607f"/>
    <xsd:import namespace="57d0460a-053e-457d-b817-ce1539ddf3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3632d-e17e-430b-b60d-cacafcb36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69adff-4c7b-40d7-bed8-737cf43a4d6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0460a-053e-457d-b817-ce1539ddf3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8d36d2-f9be-4db0-93eb-8d92930919c3}" ma:internalName="TaxCatchAll" ma:showField="CatchAllData" ma:web="57d0460a-053e-457d-b817-ce1539ddf39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E5ABB-1612-49D4-AC76-FABCE5FF7291}">
  <ds:schemaRefs>
    <ds:schemaRef ds:uri="http://schemas.microsoft.com/office/2006/metadata/properties"/>
    <ds:schemaRef ds:uri="http://schemas.microsoft.com/office/infopath/2007/PartnerControls"/>
    <ds:schemaRef ds:uri="5783632d-e17e-430b-b60d-cacafcb3607f"/>
    <ds:schemaRef ds:uri="57d0460a-053e-457d-b817-ce1539ddf396"/>
  </ds:schemaRefs>
</ds:datastoreItem>
</file>

<file path=customXml/itemProps2.xml><?xml version="1.0" encoding="utf-8"?>
<ds:datastoreItem xmlns:ds="http://schemas.openxmlformats.org/officeDocument/2006/customXml" ds:itemID="{50B3A4F6-3720-4902-837C-564084C2A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3632d-e17e-430b-b60d-cacafcb3607f"/>
    <ds:schemaRef ds:uri="57d0460a-053e-457d-b817-ce1539ddf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5B8BF-389D-4DDE-9627-6F651A22F6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4598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Rose</dc:creator>
  <cp:keywords/>
  <dc:description/>
  <cp:lastModifiedBy>Brooke Evans</cp:lastModifiedBy>
  <cp:revision>2</cp:revision>
  <dcterms:created xsi:type="dcterms:W3CDTF">2023-05-22T13:44:00Z</dcterms:created>
  <dcterms:modified xsi:type="dcterms:W3CDTF">2023-05-22T13:44:00Z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0x010100CBE08AFA590E2D47A8A6A0B37ACB7EAF</vt:lpwstr>
  </property>
  <property fmtid="{D5CDD505-2E9C-101B-9397-08002B2CF9AE}" pid="3" name="MediaServiceImageTags">
    <vt:lpwstr/>
  </property>
</Properties>
</file>